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0153F" w:rsidRPr="00B0153F" w:rsidRDefault="00B0153F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C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пятого созыва)</w:t>
      </w:r>
    </w:p>
    <w:p w:rsidR="00E75050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5D4F">
        <w:rPr>
          <w:rFonts w:ascii="Times New Roman" w:hAnsi="Times New Roman" w:cs="Times New Roman"/>
        </w:rPr>
        <w:t>07</w:t>
      </w:r>
      <w:r w:rsidR="004458CD">
        <w:rPr>
          <w:rFonts w:ascii="Times New Roman" w:hAnsi="Times New Roman" w:cs="Times New Roman"/>
        </w:rPr>
        <w:t xml:space="preserve"> </w:t>
      </w:r>
      <w:r w:rsidR="001A6383">
        <w:rPr>
          <w:rFonts w:ascii="Times New Roman" w:hAnsi="Times New Roman" w:cs="Times New Roman"/>
        </w:rPr>
        <w:t>февраля</w:t>
      </w:r>
      <w:r w:rsidR="004458CD">
        <w:rPr>
          <w:rFonts w:ascii="Times New Roman" w:hAnsi="Times New Roman" w:cs="Times New Roman"/>
        </w:rPr>
        <w:t xml:space="preserve"> 20</w:t>
      </w:r>
      <w:r w:rsidR="0022510F">
        <w:rPr>
          <w:rFonts w:ascii="Times New Roman" w:hAnsi="Times New Roman" w:cs="Times New Roman"/>
        </w:rPr>
        <w:t>2</w:t>
      </w:r>
      <w:r w:rsidR="00465D4F">
        <w:rPr>
          <w:rFonts w:ascii="Times New Roman" w:hAnsi="Times New Roman" w:cs="Times New Roman"/>
        </w:rPr>
        <w:t>5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833B2C" w:rsidRPr="001A6383">
        <w:rPr>
          <w:rFonts w:ascii="Times New Roman" w:hAnsi="Times New Roman" w:cs="Times New Roman"/>
        </w:rPr>
        <w:t xml:space="preserve"> </w:t>
      </w:r>
      <w:r w:rsidR="003819CD">
        <w:rPr>
          <w:rFonts w:ascii="Times New Roman" w:hAnsi="Times New Roman" w:cs="Times New Roman"/>
        </w:rPr>
        <w:t>49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B0153F">
        <w:trPr>
          <w:trHeight w:val="1558"/>
        </w:trPr>
        <w:tc>
          <w:tcPr>
            <w:tcW w:w="4978" w:type="dxa"/>
          </w:tcPr>
          <w:p w:rsidR="00647090" w:rsidRPr="002B1DE4" w:rsidRDefault="00B0153F" w:rsidP="00B0153F">
            <w:pPr>
              <w:jc w:val="both"/>
              <w:rPr>
                <w:rFonts w:ascii="Times New Roman" w:hAnsi="Times New Roman" w:cs="Times New Roman"/>
              </w:rPr>
            </w:pPr>
            <w:r w:rsidRPr="00B0153F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3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МО «</w:t>
            </w:r>
            <w:proofErr w:type="spellStart"/>
            <w:r w:rsidRPr="00B0153F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01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</w:t>
            </w:r>
            <w:r w:rsidRPr="00B01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B0153F">
              <w:rPr>
                <w:rFonts w:ascii="Times New Roman" w:hAnsi="Times New Roman" w:cs="Times New Roman"/>
                <w:sz w:val="24"/>
                <w:szCs w:val="24"/>
              </w:rPr>
              <w:t>полномочий контрольно-счетного органа МО</w:t>
            </w:r>
            <w:r w:rsidRPr="00B01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«Усть-Лужское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поселение» </w:t>
            </w:r>
            <w:r w:rsidRPr="00B0153F">
              <w:rPr>
                <w:rFonts w:ascii="Times New Roman" w:hAnsi="Times New Roman" w:cs="Times New Roman"/>
                <w:sz w:val="24"/>
                <w:szCs w:val="24"/>
              </w:rPr>
              <w:t>по осуществлению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3F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53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контроля за 2024 год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3C1504" w:rsidRDefault="003C1504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EC508E" w:rsidRPr="00C120DA" w:rsidRDefault="00B0153F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В целях реализации статьи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Соглашения от 20.12.2019 года №18 </w:t>
      </w:r>
      <w:r w:rsidRPr="00B0153F">
        <w:rPr>
          <w:rFonts w:ascii="Times New Roman" w:hAnsi="Times New Roman" w:cs="Times New Roman"/>
          <w:bCs/>
        </w:rPr>
        <w:t xml:space="preserve">о </w:t>
      </w:r>
      <w:r w:rsidRPr="00B0153F">
        <w:rPr>
          <w:rFonts w:ascii="Times New Roman" w:eastAsia="Times New Roman" w:hAnsi="Times New Roman" w:cs="Times New Roman"/>
        </w:rPr>
        <w:t xml:space="preserve">передаче полномочий контрольно-счетного органа </w:t>
      </w:r>
      <w:r w:rsidRPr="00B0153F">
        <w:rPr>
          <w:rFonts w:ascii="Times New Roman" w:hAnsi="Times New Roman" w:cs="Times New Roman"/>
        </w:rPr>
        <w:t>М</w:t>
      </w:r>
      <w:r w:rsidRPr="00B0153F">
        <w:rPr>
          <w:rFonts w:ascii="Times New Roman" w:eastAsia="Times New Roman" w:hAnsi="Times New Roman" w:cs="Times New Roman"/>
        </w:rPr>
        <w:t>О «Усть-Лужское сельское поселение» по осуществлению внешнего муни</w:t>
      </w:r>
      <w:r w:rsidRPr="00B0153F">
        <w:rPr>
          <w:rFonts w:ascii="Times New Roman" w:hAnsi="Times New Roman" w:cs="Times New Roman"/>
        </w:rPr>
        <w:t>ципального финансового контроля на период</w:t>
      </w:r>
      <w:r>
        <w:rPr>
          <w:rFonts w:ascii="Times New Roman" w:hAnsi="Times New Roman" w:cs="Times New Roman"/>
        </w:rPr>
        <w:t xml:space="preserve"> </w:t>
      </w:r>
      <w:r w:rsidRPr="00B0153F">
        <w:rPr>
          <w:rFonts w:ascii="Times New Roman" w:hAnsi="Times New Roman"/>
        </w:rPr>
        <w:t>с 01.01.2020 года по 31.12.2024 года</w:t>
      </w:r>
      <w:r w:rsidRPr="00B0153F">
        <w:rPr>
          <w:rFonts w:ascii="Times New Roman" w:hAnsi="Times New Roman" w:cs="Times New Roman"/>
        </w:rPr>
        <w:t xml:space="preserve">  рассмотрев отчет</w:t>
      </w:r>
      <w:r w:rsidRPr="00B0153F">
        <w:rPr>
          <w:rFonts w:ascii="Times New Roman" w:eastAsia="Calibri" w:hAnsi="Times New Roman" w:cs="Times New Roman"/>
        </w:rPr>
        <w:t xml:space="preserve"> Контрольно-счетной палаты МО «</w:t>
      </w:r>
      <w:proofErr w:type="spellStart"/>
      <w:r w:rsidRPr="00B0153F">
        <w:rPr>
          <w:rFonts w:ascii="Times New Roman" w:eastAsia="Calibri" w:hAnsi="Times New Roman" w:cs="Times New Roman"/>
        </w:rPr>
        <w:t>Кингисеппский</w:t>
      </w:r>
      <w:proofErr w:type="spellEnd"/>
      <w:r w:rsidRPr="00B0153F">
        <w:rPr>
          <w:rFonts w:ascii="Times New Roman" w:eastAsia="Calibri" w:hAnsi="Times New Roman" w:cs="Times New Roman"/>
        </w:rPr>
        <w:t xml:space="preserve"> муниципальный район»</w:t>
      </w:r>
      <w:r w:rsidRPr="00B0153F">
        <w:rPr>
          <w:rFonts w:ascii="Times New Roman" w:hAnsi="Times New Roman" w:cs="Times New Roman"/>
        </w:rPr>
        <w:t xml:space="preserve"> об  исполнении полномочий контрольно-счетного органа МО «</w:t>
      </w:r>
      <w:r w:rsidRPr="00B0153F">
        <w:rPr>
          <w:rFonts w:ascii="Times New Roman" w:eastAsia="Times New Roman" w:hAnsi="Times New Roman" w:cs="Times New Roman"/>
        </w:rPr>
        <w:t>Усть-Лужское</w:t>
      </w:r>
      <w:r w:rsidRPr="00B0153F">
        <w:rPr>
          <w:rFonts w:ascii="Times New Roman" w:hAnsi="Times New Roman" w:cs="Times New Roman"/>
        </w:rPr>
        <w:t xml:space="preserve"> сельское поселение» по осуществлению </w:t>
      </w:r>
      <w:r w:rsidRPr="00B0153F">
        <w:rPr>
          <w:rFonts w:ascii="Times New Roman" w:eastAsia="Times New Roman" w:hAnsi="Times New Roman" w:cs="Times New Roman"/>
        </w:rPr>
        <w:t xml:space="preserve">внешнего муниципального финансового контроля </w:t>
      </w:r>
      <w:r w:rsidRPr="00B0153F">
        <w:rPr>
          <w:rFonts w:ascii="Times New Roman" w:hAnsi="Times New Roman" w:cs="Times New Roman"/>
        </w:rPr>
        <w:t>за 2024 год</w:t>
      </w:r>
      <w:r w:rsidR="00C120DA" w:rsidRPr="00B0153F">
        <w:rPr>
          <w:rFonts w:ascii="Times New Roman" w:hAnsi="Times New Roman" w:cs="Times New Roman"/>
        </w:rPr>
        <w:t>,</w:t>
      </w:r>
      <w:r w:rsidR="00C120DA" w:rsidRPr="00C120DA">
        <w:rPr>
          <w:rFonts w:ascii="Times New Roman" w:hAnsi="Times New Roman" w:cs="Times New Roman"/>
        </w:rPr>
        <w:t xml:space="preserve"> Совет депутатов муниципального образования</w:t>
      </w:r>
      <w:r w:rsidR="003B2F13">
        <w:rPr>
          <w:rFonts w:ascii="Times New Roman" w:hAnsi="Times New Roman" w:cs="Times New Roman"/>
        </w:rPr>
        <w:t xml:space="preserve"> </w:t>
      </w:r>
      <w:r w:rsidR="003B2F13" w:rsidRPr="003B2F13">
        <w:rPr>
          <w:rFonts w:ascii="Times New Roman" w:hAnsi="Times New Roman" w:cs="Times New Roman"/>
        </w:rPr>
        <w:t>«Усть-Лужское сельское поселение»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C61C01" w:rsidRDefault="00B0153F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Утвердить представленный Отчет Контрольно-счетной палаты</w:t>
      </w:r>
      <w:r>
        <w:rPr>
          <w:rFonts w:ascii="Times New Roman" w:hAnsi="Times New Roman" w:cs="Times New Roman"/>
        </w:rPr>
        <w:t xml:space="preserve"> </w:t>
      </w:r>
      <w:r w:rsidRPr="00B0153F">
        <w:rPr>
          <w:rFonts w:ascii="Times New Roman" w:hAnsi="Times New Roman" w:cs="Times New Roman"/>
        </w:rPr>
        <w:t>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 об исполнении полномочий контрольно-счетного органа МО «Усть-Лужское сельское поселение» по осуществлению внешнего муниципального финансового контроля за 2024 год, согласно приложению</w:t>
      </w:r>
      <w:r w:rsidR="003C1504" w:rsidRPr="003C1504">
        <w:rPr>
          <w:rFonts w:ascii="Times New Roman" w:hAnsi="Times New Roman" w:cs="Times New Roman"/>
        </w:rPr>
        <w:t>.</w:t>
      </w:r>
    </w:p>
    <w:p w:rsidR="00647090" w:rsidRDefault="00833B2C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3B2C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C66F0" w:rsidRPr="00F467F2">
        <w:rPr>
          <w:rFonts w:ascii="Times New Roman" w:hAnsi="Times New Roman" w:cs="Times New Roman"/>
        </w:rPr>
        <w:t>.</w:t>
      </w:r>
    </w:p>
    <w:p w:rsidR="008B5033" w:rsidRPr="003C1504" w:rsidRDefault="008B5033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B5033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Pr="007D4516" w:rsidRDefault="007D4516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B5E1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решения </w:t>
      </w:r>
      <w:r w:rsidR="0022510F">
        <w:rPr>
          <w:rFonts w:ascii="Times New Roman" w:eastAsia="Times New Roman" w:hAnsi="Times New Roman" w:cs="Times New Roman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8B5033" w:rsidRDefault="0022510F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47090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образования</w:t>
      </w:r>
      <w:r w:rsidR="008B5033">
        <w:rPr>
          <w:rFonts w:ascii="Times New Roman" w:hAnsi="Times New Roman" w:cs="Times New Roman"/>
          <w:sz w:val="24"/>
          <w:szCs w:val="24"/>
        </w:rPr>
        <w:t xml:space="preserve"> </w:t>
      </w: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</w:t>
      </w:r>
      <w:r w:rsidR="0022510F">
        <w:rPr>
          <w:rFonts w:ascii="Times New Roman" w:hAnsi="Times New Roman" w:cs="Times New Roman"/>
        </w:rPr>
        <w:t xml:space="preserve">  </w:t>
      </w:r>
      <w:r w:rsidR="0022510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22510F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</w:p>
    <w:p w:rsidR="00B0153F" w:rsidRDefault="00B0153F" w:rsidP="00B0153F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153F" w:rsidRPr="00B0153F" w:rsidRDefault="00B0153F" w:rsidP="00B0153F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153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решению Совета депутатов</w:t>
      </w:r>
    </w:p>
    <w:p w:rsidR="00B0153F" w:rsidRPr="00B0153F" w:rsidRDefault="00B0153F" w:rsidP="00B0153F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153F">
        <w:rPr>
          <w:rFonts w:ascii="Times New Roman" w:eastAsia="Times New Roman" w:hAnsi="Times New Roman" w:cs="Times New Roman"/>
          <w:sz w:val="20"/>
          <w:szCs w:val="20"/>
        </w:rPr>
        <w:t>МО «Усть-Лужское сельское поселение»</w:t>
      </w:r>
    </w:p>
    <w:p w:rsidR="00B0153F" w:rsidRPr="00B0153F" w:rsidRDefault="00B0153F" w:rsidP="00B0153F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153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819CD">
        <w:rPr>
          <w:rFonts w:ascii="Times New Roman" w:eastAsia="Times New Roman" w:hAnsi="Times New Roman" w:cs="Times New Roman"/>
          <w:sz w:val="20"/>
          <w:szCs w:val="20"/>
        </w:rPr>
        <w:t xml:space="preserve">07.02.2025 </w:t>
      </w:r>
      <w:r w:rsidRPr="00B0153F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3819CD">
        <w:rPr>
          <w:rFonts w:ascii="Times New Roman" w:eastAsia="Times New Roman" w:hAnsi="Times New Roman" w:cs="Times New Roman"/>
          <w:sz w:val="20"/>
          <w:szCs w:val="20"/>
        </w:rPr>
        <w:t>49</w:t>
      </w:r>
      <w:bookmarkStart w:id="0" w:name="_GoBack"/>
      <w:bookmarkEnd w:id="0"/>
      <w:r w:rsidRPr="00B015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153F" w:rsidRPr="00B0153F" w:rsidRDefault="00B0153F" w:rsidP="00B0153F">
      <w:pPr>
        <w:spacing w:after="0" w:line="240" w:lineRule="auto"/>
        <w:ind w:left="-142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53F" w:rsidRPr="00B0153F" w:rsidRDefault="00B0153F" w:rsidP="00B0153F">
      <w:pPr>
        <w:spacing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B0153F" w:rsidRPr="00B0153F" w:rsidRDefault="00B0153F" w:rsidP="00B0153F">
      <w:pPr>
        <w:spacing w:after="0" w:line="26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</w:t>
      </w:r>
      <w:r w:rsidRPr="00B0153F">
        <w:rPr>
          <w:rFonts w:ascii="Times New Roman" w:hAnsi="Times New Roman" w:cs="Times New Roman"/>
          <w:b/>
          <w:sz w:val="24"/>
          <w:szCs w:val="24"/>
        </w:rPr>
        <w:t>полномочий контрольно-счетного органа</w:t>
      </w:r>
    </w:p>
    <w:p w:rsidR="00B0153F" w:rsidRPr="00B0153F" w:rsidRDefault="00B0153F" w:rsidP="00B0153F">
      <w:pPr>
        <w:spacing w:after="0" w:line="26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3F">
        <w:rPr>
          <w:rFonts w:ascii="Times New Roman" w:hAnsi="Times New Roman" w:cs="Times New Roman"/>
          <w:b/>
          <w:sz w:val="24"/>
          <w:szCs w:val="24"/>
        </w:rPr>
        <w:t>МО</w:t>
      </w:r>
      <w:r w:rsidRPr="00B0153F">
        <w:rPr>
          <w:rFonts w:ascii="Times New Roman" w:eastAsia="Times New Roman" w:hAnsi="Times New Roman" w:cs="Times New Roman"/>
          <w:b/>
          <w:sz w:val="24"/>
          <w:szCs w:val="24"/>
        </w:rPr>
        <w:t xml:space="preserve"> «Усть-Лужское сельское поселение»</w:t>
      </w:r>
      <w:r w:rsidRPr="00B0153F">
        <w:rPr>
          <w:rFonts w:ascii="Times New Roman" w:hAnsi="Times New Roman" w:cs="Times New Roman"/>
          <w:b/>
          <w:sz w:val="24"/>
          <w:szCs w:val="24"/>
        </w:rPr>
        <w:t xml:space="preserve"> по осуществлению</w:t>
      </w:r>
    </w:p>
    <w:p w:rsidR="00B0153F" w:rsidRPr="00B0153F" w:rsidRDefault="00B0153F" w:rsidP="00B0153F">
      <w:pPr>
        <w:spacing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b/>
          <w:sz w:val="24"/>
          <w:szCs w:val="24"/>
        </w:rPr>
        <w:t>внешнего муниципального финансового контроля</w:t>
      </w:r>
    </w:p>
    <w:p w:rsidR="00B0153F" w:rsidRPr="00B0153F" w:rsidRDefault="00B0153F" w:rsidP="00B0153F">
      <w:pPr>
        <w:spacing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b/>
          <w:sz w:val="24"/>
          <w:szCs w:val="24"/>
        </w:rPr>
        <w:t>за 2024 год</w:t>
      </w:r>
    </w:p>
    <w:p w:rsidR="00B0153F" w:rsidRPr="00B0153F" w:rsidRDefault="00B0153F" w:rsidP="00B0153F">
      <w:pPr>
        <w:spacing w:after="0" w:line="26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153F" w:rsidRPr="00B0153F" w:rsidRDefault="00B0153F" w:rsidP="00B0153F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Настоящий отчет об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 исполнении </w:t>
      </w:r>
      <w:r w:rsidRPr="00B0153F">
        <w:rPr>
          <w:rFonts w:ascii="Times New Roman" w:hAnsi="Times New Roman" w:cs="Times New Roman"/>
          <w:sz w:val="24"/>
          <w:szCs w:val="24"/>
        </w:rPr>
        <w:t>Контрольно-счетной палатой муниципального образования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Ленинградской области (далее - Контрольно-счетная палата) полномочий контрольно-счетного органа муниципального образования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 «Усть-Лужское сельское поселение» </w:t>
      </w:r>
      <w:r w:rsidRPr="00B0153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Ленинградской области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 (далее - МО «Усть-Лужское сельское поселение») </w:t>
      </w:r>
      <w:r w:rsidRPr="00B0153F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>внешнего муниципального финансового контроля</w:t>
      </w:r>
      <w:r w:rsidRPr="00B0153F">
        <w:rPr>
          <w:rFonts w:ascii="Times New Roman" w:hAnsi="Times New Roman" w:cs="Times New Roman"/>
          <w:sz w:val="24"/>
          <w:szCs w:val="24"/>
        </w:rPr>
        <w:t xml:space="preserve"> подготовлен на основании требований статьи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6-ФЗ) и </w:t>
      </w:r>
      <w:r w:rsidRPr="00B0153F">
        <w:rPr>
          <w:rFonts w:ascii="Times New Roman" w:hAnsi="Times New Roman" w:cs="Times New Roman"/>
          <w:bCs/>
          <w:sz w:val="24"/>
          <w:szCs w:val="24"/>
        </w:rPr>
        <w:t xml:space="preserve">Соглашения </w:t>
      </w:r>
      <w:r w:rsidRPr="00B0153F">
        <w:rPr>
          <w:rFonts w:ascii="Times New Roman" w:hAnsi="Times New Roman" w:cs="Times New Roman"/>
          <w:sz w:val="24"/>
          <w:szCs w:val="24"/>
        </w:rPr>
        <w:t xml:space="preserve">от 20.12.2019г. №18 </w:t>
      </w:r>
      <w:r w:rsidRPr="00B0153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передаче полномочий контрольно-счетного органа </w:t>
      </w:r>
      <w:r w:rsidRPr="00B0153F">
        <w:rPr>
          <w:rFonts w:ascii="Times New Roman" w:hAnsi="Times New Roman" w:cs="Times New Roman"/>
          <w:sz w:val="24"/>
          <w:szCs w:val="24"/>
        </w:rPr>
        <w:t>М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>О «Усть-Лужское сельское поселение» по осуществлению внешнего муни</w:t>
      </w:r>
      <w:r w:rsidRPr="00B0153F">
        <w:rPr>
          <w:rFonts w:ascii="Times New Roman" w:hAnsi="Times New Roman" w:cs="Times New Roman"/>
          <w:sz w:val="24"/>
          <w:szCs w:val="24"/>
        </w:rPr>
        <w:t>ципального финансового контроля на период  с 01.01.2020г. по 31.12.2024г. (далее  - Соглашение), заключенного на основании решений Совета депутатов МО «Усть-Лужское сельское поселение» от 27.09.2019г. №11 и Совета депутатов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от 18.10.2019г. №47/4-с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53F" w:rsidRPr="00B0153F" w:rsidRDefault="00B0153F" w:rsidP="00B0153F">
      <w:pPr>
        <w:pStyle w:val="aa"/>
        <w:spacing w:line="268" w:lineRule="auto"/>
        <w:ind w:firstLine="708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Контрольно-счётной палатой 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 в рамках реализации возложенных полномочий, в соответствии</w:t>
      </w:r>
      <w:r w:rsidRPr="00B0153F">
        <w:rPr>
          <w:rFonts w:ascii="Times New Roman" w:hAnsi="Times New Roman" w:cs="Times New Roman"/>
          <w:spacing w:val="-2"/>
        </w:rPr>
        <w:t xml:space="preserve"> с </w:t>
      </w:r>
      <w:r w:rsidRPr="00B0153F">
        <w:rPr>
          <w:rFonts w:ascii="Times New Roman" w:hAnsi="Times New Roman" w:cs="Times New Roman"/>
        </w:rPr>
        <w:t xml:space="preserve">Планом работы на 2024 год, проведено 4 экспертно-аналитических мероприятия. </w:t>
      </w:r>
    </w:p>
    <w:p w:rsidR="00B0153F" w:rsidRPr="00B0153F" w:rsidRDefault="00B0153F" w:rsidP="00B0153F">
      <w:pPr>
        <w:pStyle w:val="aa"/>
        <w:spacing w:line="268" w:lineRule="auto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ab/>
        <w:t xml:space="preserve">Общий объём финансовых средств, охваченных в отчетном году в ходе внешнего муниципального финансового контроля составил в сумме 2 082 651,2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из них: доходы – 1 203 293,7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расходы – 879 357,5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pStyle w:val="aa"/>
        <w:spacing w:line="268" w:lineRule="auto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ab/>
        <w:t>Подробная информация о результатах всех направлений деятельности Контрольно-счётной палаты за 2024 год представлена в соответствующих разделах настоящего Отчета.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3F" w:rsidRPr="00B0153F" w:rsidRDefault="00B0153F" w:rsidP="00B0153F">
      <w:pPr>
        <w:pStyle w:val="aa"/>
        <w:numPr>
          <w:ilvl w:val="0"/>
          <w:numId w:val="29"/>
        </w:numPr>
        <w:tabs>
          <w:tab w:val="clear" w:pos="709"/>
        </w:tabs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B0153F">
        <w:rPr>
          <w:rFonts w:ascii="Times New Roman" w:hAnsi="Times New Roman" w:cs="Times New Roman"/>
          <w:b/>
        </w:rPr>
        <w:t>Результаты экспертно-аналитической деятельности</w:t>
      </w:r>
    </w:p>
    <w:p w:rsidR="00B0153F" w:rsidRPr="00B0153F" w:rsidRDefault="00B0153F" w:rsidP="00B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Контрольно-счётной палатой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проведение экспертно-аналитических мероприятий осуществлялось в форме предварительного, текущего и последующего контроля, которые обеспечивают непрерывность контроля на всех стадиях бюджетного процесса – формирования и исполнения бюджета МО «Усть-Лужское сельское поселение», а также позволяет исследовать причины и последствия нарушений и недостатков, формировать предложения и рекомендации для улучшения бюджетного процесса в поселении.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b/>
          <w:i/>
          <w:sz w:val="24"/>
          <w:szCs w:val="24"/>
        </w:rPr>
        <w:t>1.1 Предварительный контроль</w:t>
      </w:r>
      <w:r w:rsidRPr="00B0153F">
        <w:rPr>
          <w:rFonts w:ascii="Times New Roman" w:hAnsi="Times New Roman" w:cs="Times New Roman"/>
          <w:sz w:val="24"/>
          <w:szCs w:val="24"/>
        </w:rPr>
        <w:t xml:space="preserve"> осуществлялся Контрольно-счётной палатой </w:t>
      </w:r>
      <w:r w:rsidRPr="00B0153F">
        <w:rPr>
          <w:rFonts w:ascii="Times New Roman" w:hAnsi="Times New Roman" w:cs="Times New Roman"/>
          <w:b/>
          <w:i/>
          <w:sz w:val="24"/>
          <w:szCs w:val="24"/>
        </w:rPr>
        <w:t>при проведении экспертизы проекта бюджета МО «Усть-Лужское сельское поселение» на 2025 год и на плановый 2026-2027 годов</w:t>
      </w:r>
      <w:r w:rsidRPr="00B0153F">
        <w:rPr>
          <w:rFonts w:ascii="Times New Roman" w:hAnsi="Times New Roman" w:cs="Times New Roman"/>
          <w:sz w:val="24"/>
          <w:szCs w:val="24"/>
        </w:rPr>
        <w:t xml:space="preserve"> в целях определения достоверности, сбалансированности и обоснованности показателей формирования проекта бюджета. </w:t>
      </w:r>
    </w:p>
    <w:p w:rsidR="00B0153F" w:rsidRPr="00B0153F" w:rsidRDefault="00B0153F" w:rsidP="00B0153F">
      <w:pPr>
        <w:pStyle w:val="aa"/>
        <w:spacing w:line="268" w:lineRule="auto"/>
        <w:ind w:firstLine="708"/>
        <w:jc w:val="both"/>
        <w:rPr>
          <w:rFonts w:ascii="Times New Roman" w:hAnsi="Times New Roman" w:cs="Times New Roman"/>
          <w:lang w:bidi="en-US"/>
        </w:rPr>
      </w:pPr>
      <w:r w:rsidRPr="00B0153F">
        <w:rPr>
          <w:rFonts w:ascii="Times New Roman" w:hAnsi="Times New Roman" w:cs="Times New Roman"/>
        </w:rPr>
        <w:lastRenderedPageBreak/>
        <w:t xml:space="preserve">В ходе проведения экспертизы </w:t>
      </w:r>
      <w:r w:rsidRPr="00B0153F">
        <w:rPr>
          <w:rFonts w:ascii="Times New Roman" w:hAnsi="Times New Roman" w:cs="Times New Roman"/>
          <w:lang w:bidi="en-US"/>
        </w:rPr>
        <w:t xml:space="preserve">Контрольно-счетной палатой проведена проверка соблюдения требований </w:t>
      </w:r>
      <w:r w:rsidRPr="00B0153F">
        <w:rPr>
          <w:rFonts w:ascii="Times New Roman" w:hAnsi="Times New Roman" w:cs="Times New Roman"/>
          <w:kern w:val="2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B0153F">
        <w:rPr>
          <w:rFonts w:ascii="Times New Roman" w:hAnsi="Times New Roman" w:cs="Times New Roman"/>
          <w:lang w:bidi="en-US"/>
        </w:rPr>
        <w:t xml:space="preserve">Положения о бюджетном процессе в МО «Усть-Лужское сельское поселение», проведен </w:t>
      </w:r>
      <w:r w:rsidRPr="00B0153F">
        <w:rPr>
          <w:rFonts w:ascii="Times New Roman" w:eastAsia="MS Mincho" w:hAnsi="Times New Roman" w:cs="Times New Roman"/>
        </w:rPr>
        <w:t>анализ и оценка соответствия проекта решения о бюджете и представленных одновременно с ним документов и материалов, требованиям бюджетного законодательства, в том числе по составу, содержанию и сроку представления; анализ показателей проекта решения о бюджете на предмет их обоснованности.</w:t>
      </w:r>
      <w:r w:rsidRPr="00B0153F">
        <w:rPr>
          <w:rFonts w:ascii="Times New Roman" w:hAnsi="Times New Roman" w:cs="Times New Roman"/>
          <w:lang w:bidi="en-US"/>
        </w:rPr>
        <w:t xml:space="preserve"> Проведен анализ и проверка планирования доходной и расходной частей бюджета, финансового обеспечения расходных обязательств, соблюдение </w:t>
      </w:r>
      <w:r w:rsidRPr="00B0153F">
        <w:rPr>
          <w:rFonts w:ascii="Times New Roman" w:hAnsi="Times New Roman" w:cs="Times New Roman"/>
        </w:rPr>
        <w:t>требований и ограничений, установленных Бюджетным кодексом РФ (по размеру дорожного фонда, объему условно утвержденных расходов, дефицита бюджета)</w:t>
      </w:r>
      <w:r w:rsidRPr="00B0153F">
        <w:rPr>
          <w:rFonts w:ascii="Times New Roman" w:hAnsi="Times New Roman" w:cs="Times New Roman"/>
          <w:lang w:bidi="en-US"/>
        </w:rPr>
        <w:t xml:space="preserve">. </w:t>
      </w:r>
    </w:p>
    <w:p w:rsidR="00B0153F" w:rsidRPr="00B0153F" w:rsidRDefault="00B0153F" w:rsidP="00B0153F">
      <w:pPr>
        <w:pStyle w:val="aa"/>
        <w:spacing w:line="268" w:lineRule="auto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  <w:lang w:bidi="en-US"/>
        </w:rPr>
        <w:t xml:space="preserve"> </w:t>
      </w:r>
      <w:r w:rsidRPr="00B0153F">
        <w:rPr>
          <w:rFonts w:ascii="Times New Roman" w:hAnsi="Times New Roman" w:cs="Times New Roman"/>
        </w:rPr>
        <w:tab/>
      </w:r>
      <w:r w:rsidRPr="00B0153F">
        <w:rPr>
          <w:rFonts w:ascii="Times New Roman" w:hAnsi="Times New Roman" w:cs="Times New Roman"/>
          <w:lang w:bidi="en-US"/>
        </w:rPr>
        <w:t xml:space="preserve"> По результатам проведенной экспертизы установлено</w:t>
      </w:r>
      <w:r w:rsidRPr="00B0153F">
        <w:rPr>
          <w:rFonts w:ascii="Times New Roman" w:hAnsi="Times New Roman" w:cs="Times New Roman"/>
        </w:rPr>
        <w:t xml:space="preserve"> следующее.</w:t>
      </w:r>
    </w:p>
    <w:p w:rsidR="00B0153F" w:rsidRPr="00B0153F" w:rsidRDefault="00B0153F" w:rsidP="00B01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1)</w:t>
      </w:r>
      <w:r w:rsidRPr="00B01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53F">
        <w:rPr>
          <w:rFonts w:ascii="Times New Roman" w:hAnsi="Times New Roman" w:cs="Times New Roman"/>
          <w:sz w:val="24"/>
          <w:szCs w:val="24"/>
        </w:rPr>
        <w:t xml:space="preserve">Проект решения представлен в Совет депутатов </w:t>
      </w:r>
      <w:r w:rsidRPr="00B0153F">
        <w:rPr>
          <w:rFonts w:ascii="Times New Roman" w:hAnsi="Times New Roman" w:cs="Times New Roman"/>
          <w:sz w:val="24"/>
          <w:szCs w:val="24"/>
          <w:lang w:bidi="en-US"/>
        </w:rPr>
        <w:t xml:space="preserve">МО «Усть-Лужское сельское поселение» </w:t>
      </w:r>
      <w:r w:rsidRPr="00B0153F">
        <w:rPr>
          <w:rFonts w:ascii="Times New Roman" w:hAnsi="Times New Roman" w:cs="Times New Roman"/>
          <w:sz w:val="24"/>
          <w:szCs w:val="24"/>
        </w:rPr>
        <w:t>и в Контрольно-счетную палату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в срок, установленный Бюджетным кодексом и Положением о бюджетном процессе в </w:t>
      </w:r>
      <w:r w:rsidRPr="00B0153F">
        <w:rPr>
          <w:rFonts w:ascii="Times New Roman" w:hAnsi="Times New Roman" w:cs="Times New Roman"/>
          <w:sz w:val="24"/>
          <w:szCs w:val="24"/>
          <w:lang w:bidi="en-US"/>
        </w:rPr>
        <w:t>МО «Усть-Лужское сельское поселение»</w:t>
      </w:r>
      <w:r w:rsidRPr="00B0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53F" w:rsidRPr="00B0153F" w:rsidRDefault="00B0153F" w:rsidP="00B01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Содержание проекта решения, перечень и содержание документов, представленных одновременно с проектом решения о бюджете, в целом соответствует требованиям Бюджетного кодекса РФ и Положения о бюджетном процессе в </w:t>
      </w:r>
      <w:r w:rsidRPr="00B0153F">
        <w:rPr>
          <w:rFonts w:ascii="Times New Roman" w:hAnsi="Times New Roman" w:cs="Times New Roman"/>
          <w:sz w:val="24"/>
          <w:szCs w:val="24"/>
          <w:lang w:bidi="en-US"/>
        </w:rPr>
        <w:t>МО «Усть-Лужское сельское поселение».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Основные характеристики бюджета МО «Усть-Лужское сельское поселение» на очередной 2025 год и на плановый период 2026 и 2027 годов сформированы на основании прогноза социально-экономического развития МО «Усть-Лужское сельское поселение» на 2025-2027 года, основных направлениях бюджетной налоговой политики на 2025 год и на плановый период на 2026 и 2027 годы, а также муниципальных программ.</w:t>
      </w:r>
    </w:p>
    <w:p w:rsidR="00B0153F" w:rsidRPr="00B0153F" w:rsidRDefault="00B0153F" w:rsidP="00B0153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Основные характеристики бюджета МО «Усть-Лужское сельское поселение» на 2025 год составляют: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                     459 041,2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.; 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общий объем расходов бюджета поселения в сумме 534 041,2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.;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дефицит бюджета поселения в сумме 75 000,0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что соответствует требованиям ст. 92.1 Бюджетного кодекса РФ. Источниками покрытия дефицита бюджета в 2025 году являются прогнозируемые остатки средств на едином счете бюджета поселения по состоянию на 01.01.2025 года. 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Основные характеристики бюджета поселения на плановый период 2026 и 2027 годов</w:t>
      </w:r>
      <w:r w:rsidRPr="00B01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153F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прогнозируемый общий объем доходов бюджета поселения на 2026 год – в сумме 492 470,2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и на 2027 год – в сумме 528 128,7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.;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общий объем расходов бюджета поселения на 2026 год – в сумме                                  492 470,2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в том числе условно утвержденные расходы – в сумме                              12 311,8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и на 2027 год – в сумме 528 128,7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в том числе условно утвержденные расходы – в сумме 26 406,5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на плановый</w:t>
      </w:r>
      <w:r w:rsidRPr="00B0153F">
        <w:rPr>
          <w:rFonts w:ascii="Times New Roman" w:hAnsi="Times New Roman" w:cs="Times New Roman"/>
          <w:lang w:eastAsia="ru-RU" w:bidi="ru-RU"/>
        </w:rPr>
        <w:t xml:space="preserve"> период 2026 и 2027 годов бюджет прогнозируется без дефицита.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В проекте бюджета МО «Усть-Лужское сельское поселение» обеспечен принцип сбалансированности в соответствии со статьей 33 Бюджетного кодексом РФ. 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Основную долю в доходной части бюджета МО «Усть-Лужское сельское поселение» в 2025 году будут составлять налоговые доходы – 99,4% от общей суммы доходов поселения. Доля неналоговых доходов будет составлять – 0,6%.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lastRenderedPageBreak/>
        <w:t>В доходной части бюджета МО «Усть-Лужское сельское поселение» на 2025 год и на плановый период 2026 и 2027 годов не учтены безвозмездные поступления от других бюджетов бюджетной системы Российской Федерации.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В общем объеме налоговых доходов бюджета поселения на 2025 год, налог на доходы физических лиц является основным доходным источником поселения и составляет наибольшую часть налоговых доходов – 97,0%.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Наибольший удельный вес в доле неналоговых доходов бюджета поселения на 2025 год занимают поступления по доходам от использования имущества, находящегося в муниципальной собственности – 88,6%.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Расходная часть бюджета поселения в соответствии с Бюджетным кодексом РФ, в основном сформирована в программной структуре расходов на основании четырех муниципальных программ (99,4% от общего объема расходов бюджета). Основную долю в структуре программных расходов в 2025 году, составят соответствующие расходы на муниципальные программы: «Развитие жилищно-коммунального хозяйства и благоустройство на территории МО «Усть-Лужское сельское поселение» – 49,7% от всех программных расходов поселения и «Развитие автомобильных дорог в МО «Усть-Лужское сельское поселение» – 40,8%.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Наибольший удельный вес в 2025 году будут занимать расходы на мероприятия в сфере жилищно-коммунального и дорожного хозяйства, на обеспечение деятельности органов местного самоуправления.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Контрольно-счетной палатой обращено внимание, что в проекте бюджета МО «Усть-Лужское сельское поселение» на 2025 год и на плановый период 2026 и 2027 годов не включены безвозмездные поступления, предусмотренные в бюджете Ленинградской области на 2025 год и на плановый период 2026 и 2027 годов: в 2025 году – в сумме 3 608,2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., в 2026 году – 1 863,5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., в 2027 году – 1 448,7тыс.руб.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По результатам экспертизы, Контрольно-счетной палатой 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 нарушений бюджетного законодательства не установлено.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Контрольно-счетная палата 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 предлагала продолжить работу по повышению эффективности расходования средств бюджета поселения, в том числе за счет качества планирования и обоснования объема бюджетных ассигнований для исполнения расходных обязательств, с учетом соотнесения финансового обеспечения с результатами реализации муниципальных программ.</w:t>
      </w:r>
    </w:p>
    <w:p w:rsidR="00B0153F" w:rsidRPr="00B0153F" w:rsidRDefault="00B0153F" w:rsidP="00B0153F">
      <w:pPr>
        <w:pStyle w:val="aa"/>
        <w:numPr>
          <w:ilvl w:val="0"/>
          <w:numId w:val="30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По результатам проведенной экспертизы, Контрольно-счётной палатой 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 рекомендовано Совету депутатов МО «Усть-Лужское сельское поселение» принять проект бюджета поселения на 2025 год и на плановый период 2026 и 2027 годов.</w:t>
      </w:r>
    </w:p>
    <w:p w:rsidR="00B0153F" w:rsidRPr="00B0153F" w:rsidRDefault="00B0153F" w:rsidP="00B0153F">
      <w:pPr>
        <w:spacing w:after="0" w:line="26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153F" w:rsidRPr="00B0153F" w:rsidRDefault="00B0153F" w:rsidP="00B0153F">
      <w:pPr>
        <w:autoSpaceDE w:val="0"/>
        <w:autoSpaceDN w:val="0"/>
        <w:adjustRightInd w:val="0"/>
        <w:spacing w:after="0" w:line="268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3F">
        <w:rPr>
          <w:rFonts w:ascii="Times New Roman" w:hAnsi="Times New Roman" w:cs="Times New Roman"/>
          <w:b/>
          <w:i/>
          <w:sz w:val="24"/>
          <w:szCs w:val="24"/>
        </w:rPr>
        <w:t>1.2. Текущий контроль</w:t>
      </w:r>
      <w:r w:rsidRPr="00B0153F">
        <w:rPr>
          <w:rFonts w:ascii="Times New Roman" w:hAnsi="Times New Roman" w:cs="Times New Roman"/>
          <w:sz w:val="24"/>
          <w:szCs w:val="24"/>
        </w:rPr>
        <w:t xml:space="preserve"> осуществлялся Контрольно-счётной палатой посредством проведения анализа своевременности и полноты поступления доходов и исполнения расходов бюджета МО «Усть-Лужское сельское поселение» при проведении </w:t>
      </w:r>
      <w:r w:rsidRPr="00B0153F">
        <w:rPr>
          <w:rFonts w:ascii="Times New Roman" w:hAnsi="Times New Roman" w:cs="Times New Roman"/>
          <w:b/>
          <w:i/>
          <w:sz w:val="24"/>
          <w:szCs w:val="24"/>
        </w:rPr>
        <w:t>экспертизы отчетов об исполнении бюджета поселения по итогам 1 полугодия и 9-ти месяцев 2024 года.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По результатам анализа, отклонение показателей исполнения бюджета МО «Усть-Лужское сельское поселение» от показателей, утвержденных решением о бюджете, сводной </w:t>
      </w:r>
      <w:r w:rsidRPr="00B0153F">
        <w:rPr>
          <w:rFonts w:ascii="Times New Roman" w:hAnsi="Times New Roman" w:cs="Times New Roman"/>
          <w:sz w:val="24"/>
          <w:szCs w:val="24"/>
        </w:rPr>
        <w:lastRenderedPageBreak/>
        <w:t>бюджетной росписью не установлено. Муниципальный долг и п</w:t>
      </w:r>
      <w:r w:rsidRPr="00B0153F">
        <w:rPr>
          <w:rFonts w:ascii="Times New Roman" w:hAnsi="Times New Roman" w:cs="Times New Roman"/>
          <w:bCs/>
          <w:sz w:val="24"/>
          <w:szCs w:val="24"/>
        </w:rPr>
        <w:t xml:space="preserve">росроченная кредиторская задолженность отсутствуют. </w:t>
      </w:r>
    </w:p>
    <w:p w:rsidR="00B0153F" w:rsidRPr="00B0153F" w:rsidRDefault="00B0153F" w:rsidP="00B0153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По результатам проведенного оперативного анализа текущего исполнения бюджета, Контрольно-счетной палатой установлено, что исполнение бюджета составило:</w:t>
      </w:r>
    </w:p>
    <w:p w:rsidR="00B0153F" w:rsidRPr="00B0153F" w:rsidRDefault="00B0153F" w:rsidP="00B0153F">
      <w:pPr>
        <w:pStyle w:val="aa"/>
        <w:numPr>
          <w:ilvl w:val="0"/>
          <w:numId w:val="31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за 1 полугодие 2024 года: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по доходам в сумме 196 868,9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или 63,2% к уточненному плану в сумме 311 141,4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.;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по расходам в сумме 61 683,2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или 13,2% к уточненному плану в сумме 466 254,7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sz w:val="24"/>
          <w:szCs w:val="24"/>
        </w:rPr>
        <w:t>Бюджет МО «Усть-Лужское сельское поселение» за 1 полугодие 2024 года исполнен с профицитом</w:t>
      </w:r>
      <w:r w:rsidRPr="00B015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в сумме 135 185,7 </w:t>
      </w:r>
      <w:proofErr w:type="spellStart"/>
      <w:r w:rsidRPr="00B0153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. при плановом дефиците в сумме 155 113,3 </w:t>
      </w:r>
      <w:proofErr w:type="spellStart"/>
      <w:r w:rsidRPr="00B0153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53F" w:rsidRPr="00B0153F" w:rsidRDefault="00B0153F" w:rsidP="00B0153F">
      <w:pPr>
        <w:pStyle w:val="aa"/>
        <w:numPr>
          <w:ilvl w:val="0"/>
          <w:numId w:val="31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0153F">
        <w:rPr>
          <w:rFonts w:ascii="Times New Roman" w:eastAsia="Times New Roman" w:hAnsi="Times New Roman" w:cs="Times New Roman"/>
        </w:rPr>
        <w:t>за 9 месяцев 2024 года: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по доходам в сумме 326 754,5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или 82,2% к уточненному плану в сумме 397 491,1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.;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по расходам в сумме 138 309,6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или 25,0% к уточненному плану в сумме 553 011,9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sz w:val="24"/>
          <w:szCs w:val="24"/>
        </w:rPr>
        <w:t>Бюджет МО «Усть-Лужское сельское поселение» за 9 месяцев 2024 года исполнен с профицитом</w:t>
      </w:r>
      <w:r w:rsidRPr="00B015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в сумме 188 444,9 </w:t>
      </w:r>
      <w:proofErr w:type="spellStart"/>
      <w:r w:rsidRPr="00B0153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. при плановом дефиците в сумме 155 113,3 </w:t>
      </w:r>
      <w:proofErr w:type="spellStart"/>
      <w:r w:rsidRPr="00B0153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53F" w:rsidRPr="00B0153F" w:rsidRDefault="00B0153F" w:rsidP="00B0153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В отношении исполнения доходной части бюджета поселения по итогам 1 полугодия и 9 месяцев 2024 года Контрольно-счётной палатой отмечалось, </w:t>
      </w:r>
      <w:r w:rsidRPr="00B0153F">
        <w:rPr>
          <w:rFonts w:ascii="Times New Roman" w:hAnsi="Times New Roman" w:cs="Times New Roman"/>
          <w:bCs/>
        </w:rPr>
        <w:t>что</w:t>
      </w:r>
      <w:r w:rsidRPr="00B0153F">
        <w:rPr>
          <w:rFonts w:ascii="Times New Roman" w:hAnsi="Times New Roman" w:cs="Times New Roman"/>
        </w:rPr>
        <w:t xml:space="preserve"> поступление доходов составляло высокий процент исполнения от утвержденного плана, в том числе как по налоговым, так и по неналоговым доходным источникам. Также отмечалось перевыполнение и высокий процент исполнения прогнозируемого плана поступлений по отдельным доходным источникам. </w:t>
      </w:r>
    </w:p>
    <w:p w:rsidR="00B0153F" w:rsidRPr="00B0153F" w:rsidRDefault="00B0153F" w:rsidP="00B0153F">
      <w:pPr>
        <w:pStyle w:val="aa"/>
        <w:spacing w:line="268" w:lineRule="auto"/>
        <w:ind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Контрольно-счётная палата обращала внимание на наличие недоимки по неналоговым доходам. </w:t>
      </w:r>
      <w:r w:rsidRPr="00B0153F">
        <w:rPr>
          <w:rFonts w:ascii="Times New Roman" w:hAnsi="Times New Roman" w:cs="Times New Roman"/>
          <w:lang w:bidi="en-US"/>
        </w:rPr>
        <w:t>Недоимка образовалась в связи с неисполнением арендаторами своих обязательств по оплате арендной платы за имущество</w:t>
      </w:r>
      <w:r w:rsidRPr="00B0153F">
        <w:rPr>
          <w:rFonts w:ascii="Times New Roman" w:hAnsi="Times New Roman" w:cs="Times New Roman"/>
          <w:spacing w:val="1"/>
        </w:rPr>
        <w:t xml:space="preserve">. 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В отношении исполнения расходной части бюджета поселения по итогам 1 полугодия и 9 месяцев 2024 года Контрольно-счётной палатой отмечался низкий процент исполнения. 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В целях эффективного и результативного использования бюджетных средств, достижения целей и запланированных значений показателей муниципальных программ и непрограммных расходов бюджета поселения, Контрольно-счётная палата рекомендовала в течение 2024 года проанализировать и усилить внутренний контроль за исполнением плановых показателей расходной части бюджета, за исполнением заключенных муниципальных контрактов, за реализацией мероприятий муниципальных программ,  в целях исключения рисков их неисполнения в 2024 году. 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В целях повышения качества планирования и обеспечения эффективного расходования бюджетных средств, в случае отсутствия потребностей в проведении запланированных мероприятий и образовавшейся экономии в ходе проведения конкурсных процедур при заключении муниципальных контрактов, оперативно анализировать и перераспределять в течение финансового года бюджетные ассигнования между разделами бюджета с учетом первоочередных задач поселения.</w:t>
      </w:r>
    </w:p>
    <w:p w:rsidR="00B0153F" w:rsidRPr="00B0153F" w:rsidRDefault="00B0153F" w:rsidP="00B0153F">
      <w:pPr>
        <w:pStyle w:val="Default"/>
        <w:tabs>
          <w:tab w:val="left" w:pos="709"/>
        </w:tabs>
        <w:spacing w:line="276" w:lineRule="auto"/>
        <w:ind w:firstLine="709"/>
        <w:jc w:val="both"/>
      </w:pPr>
      <w:r w:rsidRPr="00B0153F">
        <w:t>Заключения Контрольно-счетной палаты по результатам проведенного оперативного анализа направлялись в адрес Совета депутатов МО «Усть-Лужское сельское поселение» и администрации МО «Усть-Лужское сельское поселение».</w:t>
      </w:r>
    </w:p>
    <w:p w:rsidR="00B0153F" w:rsidRPr="00B0153F" w:rsidRDefault="00B0153F" w:rsidP="00B0153F">
      <w:pPr>
        <w:pStyle w:val="Default"/>
        <w:tabs>
          <w:tab w:val="left" w:pos="709"/>
        </w:tabs>
        <w:spacing w:line="276" w:lineRule="auto"/>
        <w:ind w:firstLine="709"/>
        <w:jc w:val="both"/>
      </w:pPr>
    </w:p>
    <w:p w:rsidR="00B0153F" w:rsidRPr="00B0153F" w:rsidRDefault="00B0153F" w:rsidP="00B0153F">
      <w:pPr>
        <w:autoSpaceDE w:val="0"/>
        <w:autoSpaceDN w:val="0"/>
        <w:adjustRightInd w:val="0"/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b/>
          <w:i/>
          <w:sz w:val="24"/>
          <w:szCs w:val="24"/>
        </w:rPr>
        <w:lastRenderedPageBreak/>
        <w:t>1.3. Последующий контроль</w:t>
      </w:r>
      <w:r w:rsidRPr="00B0153F">
        <w:rPr>
          <w:rFonts w:ascii="Times New Roman" w:hAnsi="Times New Roman" w:cs="Times New Roman"/>
          <w:sz w:val="24"/>
          <w:szCs w:val="24"/>
        </w:rPr>
        <w:t xml:space="preserve"> осуществлялся Контрольно-счётной палатой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и был направлен на установление полноты и на оценку достоверности </w:t>
      </w:r>
      <w:r w:rsidRPr="00B0153F">
        <w:rPr>
          <w:rFonts w:ascii="Times New Roman" w:hAnsi="Times New Roman" w:cs="Times New Roman"/>
          <w:b/>
          <w:i/>
          <w:sz w:val="24"/>
          <w:szCs w:val="24"/>
        </w:rPr>
        <w:t>годового отчета об исполнении бюджета МО «Усть-Лужское сельское поселение» за 2023 год</w:t>
      </w:r>
      <w:r w:rsidRPr="00B0153F">
        <w:rPr>
          <w:rFonts w:ascii="Times New Roman" w:hAnsi="Times New Roman" w:cs="Times New Roman"/>
          <w:sz w:val="24"/>
          <w:szCs w:val="24"/>
        </w:rPr>
        <w:t xml:space="preserve">. Был проведен анализ показателей исполнения бюджета поселения, оценка процента исполнения и причины отклонения. </w:t>
      </w:r>
    </w:p>
    <w:p w:rsidR="00B0153F" w:rsidRPr="00B0153F" w:rsidRDefault="00B0153F" w:rsidP="00B0153F">
      <w:pPr>
        <w:tabs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Во исполнение статей 264.4, 268.1 Бюджетного кодекса Российской Федерации, пп.3 п.2 ст.9 Закона 6-ФЗ, Контрольно-счетной палатой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проведена в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 xml:space="preserve">нешняя проверка годового отчета об исполнении бюджета </w:t>
      </w:r>
      <w:r w:rsidRPr="00B0153F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>поселение» за 2023</w:t>
      </w:r>
      <w:r w:rsidRPr="00B0153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По результатам внешней проверки отчета установлено следующее.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>1) Исполнение бюджета МО «Усть-Лужское сельское поселение» в 2023 году характеризовалось следующими показателями: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0153F">
        <w:rPr>
          <w:rFonts w:ascii="Times New Roman" w:hAnsi="Times New Roman" w:cs="Times New Roman"/>
        </w:rPr>
        <w:t xml:space="preserve">по доходам – 220 629,1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(127,4% от уточненного плана в сумме 173 246,1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.), в том числе собственные доходы – 215 261,1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(128,2% от уточненного плана в сумме 167 844,6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.);</w:t>
      </w:r>
      <w:r w:rsidRPr="00B0153F">
        <w:rPr>
          <w:rFonts w:ascii="Times New Roman" w:hAnsi="Times New Roman" w:cs="Times New Roman"/>
          <w:bCs/>
        </w:rPr>
        <w:t xml:space="preserve"> 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по расходам – 145 320,5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(89,3% от уточненного плана в сумме 162 720,1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.);</w:t>
      </w:r>
    </w:p>
    <w:p w:rsidR="00B0153F" w:rsidRPr="00B0153F" w:rsidRDefault="00B0153F" w:rsidP="00B0153F">
      <w:pPr>
        <w:pStyle w:val="aa"/>
        <w:numPr>
          <w:ilvl w:val="0"/>
          <w:numId w:val="33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бюджет исполнен с профицитом</w:t>
      </w:r>
      <w:r w:rsidRPr="00B0153F">
        <w:rPr>
          <w:rFonts w:ascii="Times New Roman" w:hAnsi="Times New Roman" w:cs="Times New Roman"/>
          <w:b/>
          <w:i/>
        </w:rPr>
        <w:t xml:space="preserve"> </w:t>
      </w:r>
      <w:r w:rsidRPr="00B0153F">
        <w:rPr>
          <w:rFonts w:ascii="Times New Roman" w:hAnsi="Times New Roman" w:cs="Times New Roman"/>
        </w:rPr>
        <w:t xml:space="preserve">в сумме 75 308,6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 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2) В общем объеме доходов бюджета </w:t>
      </w:r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«Усть-Лужское сельское поселение» в 2023 году налоговые доходы </w:t>
      </w:r>
      <w:r w:rsidRPr="00B0153F">
        <w:rPr>
          <w:rFonts w:ascii="Times New Roman" w:hAnsi="Times New Roman" w:cs="Times New Roman"/>
          <w:sz w:val="24"/>
          <w:szCs w:val="24"/>
        </w:rPr>
        <w:t xml:space="preserve">составляют наибольшую часть – 95,9% или в сумме 211 681,3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., безвозмездные поступления – 2,4% или в сумме 5 368,0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., неналоговые доходы – 1,7% или в сумме 3 579,8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>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3) Основным источником налоговых доходов бюджета МО «Усть-Лужское сельское поселение» в 2023 году являлся налог на доходы физических лиц. Его доля в общей сумме доходов составила 91,0%, доля в собственных доходах – 94,8%. Сумма фактического поступления НДФЛ составила в сумме 200 782,0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 или 130,4% от плана в сумме                 154 015,0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 Дополнительно в бюджет поселения поступило в сумме 46 767,0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>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4) Основную долю неналоговых доходов составляют доходы от использования имущества – 73,7% от всех неналоговых доходов.  План 2023 года в сумме 2 902,8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 исполнен на 90,7% или в сумме 2 634,6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5) Недоимка в бюджет МО «Усть-Лужское сельское поселение» по неналоговым доходам по состоянию на 01.01.2024 года составила в сумме 684,3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., что меньше на 25,4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>. к показателям на начало 2023 года.</w:t>
      </w:r>
      <w:r w:rsidRPr="00B01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53F">
        <w:rPr>
          <w:rFonts w:ascii="Times New Roman" w:hAnsi="Times New Roman" w:cs="Times New Roman"/>
          <w:sz w:val="24"/>
          <w:szCs w:val="24"/>
        </w:rPr>
        <w:t>Основная сумма недоимки приходится на земельный налог с физических лиц – 67,4% от всей недоимки</w:t>
      </w:r>
      <w:r w:rsidRPr="00B0153F">
        <w:rPr>
          <w:rFonts w:ascii="Times New Roman" w:hAnsi="Times New Roman" w:cs="Times New Roman"/>
          <w:spacing w:val="1"/>
          <w:sz w:val="24"/>
          <w:szCs w:val="24"/>
        </w:rPr>
        <w:t>. Причина образования задолженности является неисполнение налогоплательщиками обязательств по уплате налогов.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pacing w:val="1"/>
          <w:sz w:val="24"/>
          <w:szCs w:val="24"/>
        </w:rPr>
        <w:t>6)</w:t>
      </w:r>
      <w:r w:rsidRPr="00B0153F">
        <w:rPr>
          <w:rFonts w:ascii="Times New Roman" w:hAnsi="Times New Roman" w:cs="Times New Roman"/>
          <w:sz w:val="24"/>
          <w:szCs w:val="24"/>
        </w:rPr>
        <w:t xml:space="preserve"> Наибольший удельный вес в расходах бюджета «Усть-Лужское сельское поселение» в 2023 году занимают расходы на дорожное хозяйство – 39,6% (57 560,7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.) и на благоустройство – 27,9% (40 526,0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>.).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pacing w:val="1"/>
          <w:sz w:val="24"/>
          <w:szCs w:val="24"/>
        </w:rPr>
        <w:t>7)</w:t>
      </w:r>
      <w:r w:rsidRPr="00B0153F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«Усть-Лужское сельское поселение» </w:t>
      </w:r>
      <w:r w:rsidRPr="00B0153F">
        <w:rPr>
          <w:rFonts w:ascii="Times New Roman" w:hAnsi="Times New Roman" w:cs="Times New Roman"/>
          <w:sz w:val="24"/>
          <w:szCs w:val="24"/>
        </w:rPr>
        <w:t>в 2023 году распределялись в рамках программных и непрограммным направлениям деятельности:</w:t>
      </w:r>
    </w:p>
    <w:p w:rsidR="00B0153F" w:rsidRPr="00B0153F" w:rsidRDefault="00B0153F" w:rsidP="00B0153F">
      <w:pPr>
        <w:pStyle w:val="aa"/>
        <w:numPr>
          <w:ilvl w:val="0"/>
          <w:numId w:val="32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123 174,6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 – на реализацию муниципальных программ (84,7% от общей суммы расходов);</w:t>
      </w:r>
    </w:p>
    <w:p w:rsidR="00B0153F" w:rsidRPr="00B0153F" w:rsidRDefault="00B0153F" w:rsidP="00B0153F">
      <w:pPr>
        <w:pStyle w:val="aa"/>
        <w:numPr>
          <w:ilvl w:val="0"/>
          <w:numId w:val="32"/>
        </w:numPr>
        <w:tabs>
          <w:tab w:val="clear" w:pos="709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22 145,9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 – на непрограммные расходы (15,3% от общей суммы расходов).</w:t>
      </w:r>
    </w:p>
    <w:p w:rsidR="00B0153F" w:rsidRPr="00B0153F" w:rsidRDefault="00B0153F" w:rsidP="00B0153F">
      <w:pPr>
        <w:spacing w:after="0" w:line="26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B015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Основную долю в программных расходах в 2023 году составили расходы на муниципальные программы:</w:t>
      </w:r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0153F">
        <w:rPr>
          <w:rFonts w:ascii="Times New Roman" w:hAnsi="Times New Roman" w:cs="Times New Roman"/>
          <w:sz w:val="24"/>
          <w:szCs w:val="24"/>
        </w:rPr>
        <w:t>Развитие автомобильных дорог в МО «Усть-Лужское сельское поселение</w:t>
      </w:r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сумме 56 380,5 </w:t>
      </w:r>
      <w:proofErr w:type="spellStart"/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B0153F">
        <w:rPr>
          <w:rFonts w:ascii="Times New Roman" w:eastAsia="Times New Roman" w:hAnsi="Times New Roman" w:cs="Times New Roman"/>
          <w:color w:val="000000"/>
          <w:sz w:val="24"/>
          <w:szCs w:val="24"/>
        </w:rPr>
        <w:t>. (45,8 % от общей суммы программных расходов) и</w:t>
      </w:r>
      <w:r w:rsidRPr="00B015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0153F">
        <w:rPr>
          <w:rFonts w:ascii="Times New Roman" w:hAnsi="Times New Roman" w:cs="Times New Roman"/>
          <w:sz w:val="24"/>
          <w:szCs w:val="24"/>
        </w:rPr>
        <w:t xml:space="preserve">«Развитие жилищно-коммунального хозяйства МО «Усть-Лужское сельское поселение» в сумме 46 092,4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. (37,4% от общей суммы программных расходов). По всем муниципальным программам наблюдается высокий процент исполнения (97,6% и более). В целом, практически по всем муниципальным программам поселения достигнута высокая результативность исполнения количественных и качественных целевых показателей (индикаторов). 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8) Финансовые активы бюджета поселения по состоянию на 01.01.2024 года составили в сумме 167 893,5 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средства во временном распоряжении (обеспечение исполнения по контрактам) – 15,5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средства на счетах бюджета в Органе Федерального казначейства – 155 205,4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дебиторская задолженность – 12 554,8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 xml:space="preserve">.; 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 xml:space="preserve">дебиторская задолженность по выплатам – 117,8 </w:t>
      </w:r>
      <w:proofErr w:type="spellStart"/>
      <w:r w:rsidRPr="00B0153F">
        <w:rPr>
          <w:rFonts w:ascii="Times New Roman" w:hAnsi="Times New Roman" w:cs="Times New Roman"/>
        </w:rPr>
        <w:t>тыс.руб</w:t>
      </w:r>
      <w:proofErr w:type="spellEnd"/>
      <w:r w:rsidRPr="00B0153F">
        <w:rPr>
          <w:rFonts w:ascii="Times New Roman" w:hAnsi="Times New Roman" w:cs="Times New Roman"/>
        </w:rPr>
        <w:t>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bCs/>
          <w:iCs/>
          <w:sz w:val="24"/>
          <w:szCs w:val="24"/>
        </w:rPr>
        <w:t>В результате внешней проверки Контрольно-счетной палатой установлено, что</w:t>
      </w:r>
      <w:r w:rsidRPr="00B0153F">
        <w:rPr>
          <w:rFonts w:ascii="Times New Roman" w:hAnsi="Times New Roman" w:cs="Times New Roman"/>
          <w:sz w:val="24"/>
          <w:szCs w:val="24"/>
        </w:rPr>
        <w:t xml:space="preserve"> показатели годового отчета соответствуют показателям утвержденного бюджета МО «Усть-Лужское </w:t>
      </w:r>
      <w:r w:rsidRPr="00B0153F">
        <w:rPr>
          <w:rFonts w:ascii="Times New Roman" w:hAnsi="Times New Roman" w:cs="Times New Roman"/>
          <w:color w:val="000000"/>
          <w:sz w:val="24"/>
          <w:szCs w:val="24"/>
        </w:rPr>
        <w:t>сельское поселение»</w:t>
      </w:r>
      <w:r w:rsidRPr="00B0153F">
        <w:rPr>
          <w:rFonts w:ascii="Times New Roman" w:hAnsi="Times New Roman" w:cs="Times New Roman"/>
          <w:sz w:val="24"/>
          <w:szCs w:val="24"/>
        </w:rPr>
        <w:t xml:space="preserve"> на 2023 год. Фактов искажения бюджетной отчетности, влияющие на полноту и достоверность бюджетной отчетности, не установлено. Годовой отчет по составу, содержанию (перечню отраженных в нем показателей) и представлению соответствует требованиям установленным бюджетным законодательством. Контрольные соотношения между показателями форм отчетности соблюдены. 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отчета об исполнении бюджета МО «Усть-Лужское </w:t>
      </w:r>
      <w:r w:rsidRPr="00B0153F">
        <w:rPr>
          <w:rFonts w:ascii="Times New Roman" w:hAnsi="Times New Roman" w:cs="Times New Roman"/>
          <w:color w:val="000000"/>
          <w:sz w:val="24"/>
          <w:szCs w:val="24"/>
        </w:rPr>
        <w:t>сельское поселение»</w:t>
      </w:r>
      <w:r w:rsidRPr="00B0153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подготовлено заключение от 17.04.2024 года и направлено в адрес Совета депутатов МО «Усть-Лужское сельское поселение» и администрации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Услть-Лужское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сельское поселение», с рекомендацией рассмотреть и утвердить отчет об исполнении бюджета за 2023 год.</w:t>
      </w:r>
    </w:p>
    <w:p w:rsidR="00B0153F" w:rsidRPr="00B0153F" w:rsidRDefault="00B0153F" w:rsidP="00B01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53F" w:rsidRPr="00B0153F" w:rsidRDefault="00B0153F" w:rsidP="00B0153F">
      <w:pPr>
        <w:tabs>
          <w:tab w:val="left" w:pos="486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153F">
        <w:rPr>
          <w:rFonts w:ascii="Times New Roman" w:eastAsia="Times New Roman" w:hAnsi="Times New Roman" w:cs="Times New Roman"/>
          <w:b/>
          <w:bCs/>
          <w:sz w:val="24"/>
          <w:szCs w:val="24"/>
        </w:rPr>
        <w:t>2. Заключение</w:t>
      </w:r>
    </w:p>
    <w:p w:rsidR="00B0153F" w:rsidRPr="00B0153F" w:rsidRDefault="00B0153F" w:rsidP="00B0153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3F">
        <w:rPr>
          <w:rFonts w:ascii="Times New Roman" w:hAnsi="Times New Roman" w:cs="Times New Roman"/>
          <w:bCs/>
          <w:sz w:val="24"/>
          <w:szCs w:val="24"/>
        </w:rPr>
        <w:t>В отчетном периоде Контрольно-счетной палатой МО «</w:t>
      </w:r>
      <w:proofErr w:type="spellStart"/>
      <w:r w:rsidRPr="00B0153F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обеспечено исполнение полномочий по осуществлению внешнего муниципального финансового контроля в полном объеме. Мероприятия, предусмотренные Планом работы на 2024 год, выполнены. </w:t>
      </w:r>
    </w:p>
    <w:p w:rsidR="00B0153F" w:rsidRPr="00B0153F" w:rsidRDefault="00B0153F" w:rsidP="00B015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53F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</w:t>
      </w:r>
      <w:r w:rsidRPr="00B0153F">
        <w:rPr>
          <w:rFonts w:ascii="Times New Roman" w:hAnsi="Times New Roman" w:cs="Times New Roman"/>
          <w:bCs/>
          <w:sz w:val="24"/>
          <w:szCs w:val="24"/>
        </w:rPr>
        <w:t>передаче Контрольно-счетной палате МО «</w:t>
      </w:r>
      <w:proofErr w:type="spellStart"/>
      <w:r w:rsidRPr="00B0153F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полномочий по осуществлению внешнего муниципального финансового контроля, в </w:t>
      </w:r>
      <w:r w:rsidRPr="00B0153F">
        <w:rPr>
          <w:rFonts w:ascii="Times New Roman" w:hAnsi="Times New Roman" w:cs="Times New Roman"/>
          <w:sz w:val="24"/>
          <w:szCs w:val="24"/>
        </w:rPr>
        <w:t>адрес Главы муниципального образования направлялись заключения и копии материалов Контрольно-счетной палаты МО «</w:t>
      </w:r>
      <w:proofErr w:type="spellStart"/>
      <w:r w:rsidRPr="00B0153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sz w:val="24"/>
          <w:szCs w:val="24"/>
        </w:rPr>
        <w:t xml:space="preserve"> муниципальный район» о результатах проведенных контрольных мероприятий. </w:t>
      </w:r>
    </w:p>
    <w:p w:rsidR="00B0153F" w:rsidRPr="00B0153F" w:rsidRDefault="00B0153F" w:rsidP="00B0153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53F">
        <w:rPr>
          <w:rFonts w:ascii="Times New Roman" w:hAnsi="Times New Roman" w:cs="Times New Roman"/>
          <w:bCs/>
          <w:sz w:val="24"/>
          <w:szCs w:val="24"/>
        </w:rPr>
        <w:t>В соответствии с Планом работы Контрольно-счетной палаты МО «</w:t>
      </w:r>
      <w:proofErr w:type="spellStart"/>
      <w:r w:rsidRPr="00B0153F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на 2025 год (далее </w:t>
      </w:r>
      <w:r w:rsidRPr="00B0153F">
        <w:rPr>
          <w:rFonts w:ascii="Times New Roman" w:hAnsi="Times New Roman" w:cs="Times New Roman"/>
          <w:sz w:val="24"/>
          <w:szCs w:val="24"/>
        </w:rPr>
        <w:t>–</w:t>
      </w:r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План работы на 2025 год), основными задачами Контрольно-счетной палаты МО «</w:t>
      </w:r>
      <w:proofErr w:type="spellStart"/>
      <w:r w:rsidRPr="00B0153F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район», в рамках</w:t>
      </w:r>
      <w:r w:rsidRPr="00B0153F">
        <w:rPr>
          <w:rFonts w:ascii="Times New Roman" w:hAnsi="Times New Roman" w:cs="Times New Roman"/>
          <w:sz w:val="24"/>
          <w:szCs w:val="24"/>
        </w:rPr>
        <w:t xml:space="preserve"> </w:t>
      </w:r>
      <w:r w:rsidRPr="00B0153F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полномочий </w:t>
      </w:r>
      <w:r w:rsidRPr="00B0153F">
        <w:rPr>
          <w:rFonts w:ascii="Times New Roman" w:eastAsia="Times New Roman" w:hAnsi="Times New Roman" w:cs="Times New Roman"/>
          <w:sz w:val="24"/>
          <w:szCs w:val="24"/>
        </w:rPr>
        <w:t>по осуществлению внешнего муни</w:t>
      </w:r>
      <w:r w:rsidRPr="00B0153F">
        <w:rPr>
          <w:rFonts w:ascii="Times New Roman" w:hAnsi="Times New Roman" w:cs="Times New Roman"/>
          <w:sz w:val="24"/>
          <w:szCs w:val="24"/>
        </w:rPr>
        <w:t>ципального финансового контроля,</w:t>
      </w:r>
      <w:r w:rsidRPr="00B0153F">
        <w:rPr>
          <w:rFonts w:ascii="Times New Roman" w:hAnsi="Times New Roman" w:cs="Times New Roman"/>
          <w:bCs/>
          <w:sz w:val="24"/>
          <w:szCs w:val="24"/>
        </w:rPr>
        <w:t xml:space="preserve"> в 2025 году являются: 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проведение внешней проверки годового отчета за 2024 год (п.11 Плана работы на 2025 год);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осуществление оперативного анализа текущего исполнения бюджета в 2025 году по состоянию на 01.07.2025 года (п.22 Плана работы на 2025 год), по состоянию на 01.10.2025 года (п.24 Плана работы на 2025 год);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проведение экспертизы проекта бюджета МО «Усть-Лужское сельское поселение» на 2026 год и на плановый период 2027 и 2028 годов (п.26 Плана работы на 2025 год);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осуществление контроля за состоянием муниципального внутреннего и внешнего долга МО «Усть-Лужское сельское поселение»;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направление в Совет депутатов МО «Усть-Лужское сельское поселение» материалов по результатам   проведенных   мероприятий;</w:t>
      </w:r>
    </w:p>
    <w:p w:rsidR="00B0153F" w:rsidRPr="00B0153F" w:rsidRDefault="00B0153F" w:rsidP="00B0153F">
      <w:pPr>
        <w:pStyle w:val="aa"/>
        <w:numPr>
          <w:ilvl w:val="0"/>
          <w:numId w:val="34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B0153F">
        <w:rPr>
          <w:rFonts w:ascii="Times New Roman" w:hAnsi="Times New Roman" w:cs="Times New Roman"/>
        </w:rPr>
        <w:t>подготовка и представление ежегодного отчёта о деятельности Контрольно-счётной палаты МО «</w:t>
      </w:r>
      <w:proofErr w:type="spellStart"/>
      <w:r w:rsidRPr="00B0153F">
        <w:rPr>
          <w:rFonts w:ascii="Times New Roman" w:hAnsi="Times New Roman" w:cs="Times New Roman"/>
        </w:rPr>
        <w:t>Кингисеппский</w:t>
      </w:r>
      <w:proofErr w:type="spellEnd"/>
      <w:r w:rsidRPr="00B0153F">
        <w:rPr>
          <w:rFonts w:ascii="Times New Roman" w:hAnsi="Times New Roman" w:cs="Times New Roman"/>
        </w:rPr>
        <w:t xml:space="preserve"> муниципальный район», в части исполнения полномочий по внешнему муниципальному финансовому контролю за 2025 год.</w:t>
      </w:r>
    </w:p>
    <w:p w:rsidR="00B0153F" w:rsidRDefault="00B0153F" w:rsidP="00B0153F">
      <w:pPr>
        <w:spacing w:line="268" w:lineRule="auto"/>
        <w:ind w:firstLine="709"/>
        <w:jc w:val="both"/>
        <w:rPr>
          <w:sz w:val="28"/>
          <w:szCs w:val="28"/>
          <w:highlight w:val="yellow"/>
        </w:rPr>
      </w:pPr>
    </w:p>
    <w:p w:rsidR="00B0153F" w:rsidRDefault="00B0153F" w:rsidP="00B0153F">
      <w:pPr>
        <w:spacing w:after="0" w:line="271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3B12" w:rsidRPr="001A6383" w:rsidRDefault="00473B12" w:rsidP="00B015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B12" w:rsidRPr="001A6383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EA7"/>
    <w:multiLevelType w:val="hybridMultilevel"/>
    <w:tmpl w:val="A5BEF6B4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35076"/>
    <w:multiLevelType w:val="hybridMultilevel"/>
    <w:tmpl w:val="275AFA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17F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775A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8F4663"/>
    <w:multiLevelType w:val="hybridMultilevel"/>
    <w:tmpl w:val="277298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60302"/>
    <w:multiLevelType w:val="hybridMultilevel"/>
    <w:tmpl w:val="02D63320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B676E"/>
    <w:multiLevelType w:val="hybridMultilevel"/>
    <w:tmpl w:val="8E76AF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C0C8F"/>
    <w:multiLevelType w:val="hybridMultilevel"/>
    <w:tmpl w:val="077CA37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79DB"/>
    <w:multiLevelType w:val="hybridMultilevel"/>
    <w:tmpl w:val="F55A0D10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7771F9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4A027F2A"/>
    <w:multiLevelType w:val="hybridMultilevel"/>
    <w:tmpl w:val="E478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B2052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7B57D8"/>
    <w:multiLevelType w:val="hybridMultilevel"/>
    <w:tmpl w:val="9888188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49683F"/>
    <w:multiLevelType w:val="hybridMultilevel"/>
    <w:tmpl w:val="F7087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2E4539"/>
    <w:multiLevelType w:val="hybridMultilevel"/>
    <w:tmpl w:val="1DA477DE"/>
    <w:lvl w:ilvl="0" w:tplc="DE3C23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481192"/>
    <w:multiLevelType w:val="hybridMultilevel"/>
    <w:tmpl w:val="A872C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0E076F"/>
    <w:multiLevelType w:val="hybridMultilevel"/>
    <w:tmpl w:val="6298C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434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1" w15:restartNumberingAfterBreak="0">
    <w:nsid w:val="7B2760B4"/>
    <w:multiLevelType w:val="hybridMultilevel"/>
    <w:tmpl w:val="EDAA498C"/>
    <w:lvl w:ilvl="0" w:tplc="EEB2AE6E">
      <w:start w:val="2"/>
      <w:numFmt w:val="decimal"/>
      <w:lvlText w:val="%1)"/>
      <w:lvlJc w:val="left"/>
      <w:pPr>
        <w:ind w:left="588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CF76A6C"/>
    <w:multiLevelType w:val="hybridMultilevel"/>
    <w:tmpl w:val="1EFE3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D97711"/>
    <w:multiLevelType w:val="hybridMultilevel"/>
    <w:tmpl w:val="F20AF5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3"/>
  </w:num>
  <w:num w:numId="5">
    <w:abstractNumId w:val="11"/>
  </w:num>
  <w:num w:numId="6">
    <w:abstractNumId w:val="7"/>
  </w:num>
  <w:num w:numId="7">
    <w:abstractNumId w:val="19"/>
  </w:num>
  <w:num w:numId="8">
    <w:abstractNumId w:val="22"/>
  </w:num>
  <w:num w:numId="9">
    <w:abstractNumId w:val="29"/>
  </w:num>
  <w:num w:numId="10">
    <w:abstractNumId w:val="18"/>
  </w:num>
  <w:num w:numId="11">
    <w:abstractNumId w:val="8"/>
  </w:num>
  <w:num w:numId="12">
    <w:abstractNumId w:val="13"/>
  </w:num>
  <w:num w:numId="13">
    <w:abstractNumId w:val="27"/>
  </w:num>
  <w:num w:numId="14">
    <w:abstractNumId w:val="1"/>
  </w:num>
  <w:num w:numId="15">
    <w:abstractNumId w:val="5"/>
  </w:num>
  <w:num w:numId="16">
    <w:abstractNumId w:val="6"/>
  </w:num>
  <w:num w:numId="17">
    <w:abstractNumId w:val="0"/>
  </w:num>
  <w:num w:numId="18">
    <w:abstractNumId w:val="17"/>
  </w:num>
  <w:num w:numId="19">
    <w:abstractNumId w:val="14"/>
  </w:num>
  <w:num w:numId="20">
    <w:abstractNumId w:val="32"/>
  </w:num>
  <w:num w:numId="21">
    <w:abstractNumId w:val="23"/>
  </w:num>
  <w:num w:numId="22">
    <w:abstractNumId w:val="26"/>
  </w:num>
  <w:num w:numId="23">
    <w:abstractNumId w:val="20"/>
  </w:num>
  <w:num w:numId="24">
    <w:abstractNumId w:val="2"/>
  </w:num>
  <w:num w:numId="25">
    <w:abstractNumId w:val="25"/>
  </w:num>
  <w:num w:numId="26">
    <w:abstractNumId w:val="4"/>
  </w:num>
  <w:num w:numId="27">
    <w:abstractNumId w:val="15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E030D"/>
    <w:rsid w:val="00105EC8"/>
    <w:rsid w:val="001437C9"/>
    <w:rsid w:val="00160C21"/>
    <w:rsid w:val="001657B8"/>
    <w:rsid w:val="00193313"/>
    <w:rsid w:val="001A6383"/>
    <w:rsid w:val="001B3328"/>
    <w:rsid w:val="001B7A6E"/>
    <w:rsid w:val="001C39D4"/>
    <w:rsid w:val="001C4DFD"/>
    <w:rsid w:val="001D075D"/>
    <w:rsid w:val="001D4355"/>
    <w:rsid w:val="0020207D"/>
    <w:rsid w:val="00223E84"/>
    <w:rsid w:val="0022510F"/>
    <w:rsid w:val="00234D13"/>
    <w:rsid w:val="002552C9"/>
    <w:rsid w:val="0028556B"/>
    <w:rsid w:val="002B1DE4"/>
    <w:rsid w:val="002C1C7A"/>
    <w:rsid w:val="002C66F0"/>
    <w:rsid w:val="002E67DB"/>
    <w:rsid w:val="0032172A"/>
    <w:rsid w:val="00367C52"/>
    <w:rsid w:val="00374FD9"/>
    <w:rsid w:val="00380B54"/>
    <w:rsid w:val="003819CD"/>
    <w:rsid w:val="003834D0"/>
    <w:rsid w:val="003852F6"/>
    <w:rsid w:val="00385E9D"/>
    <w:rsid w:val="00393459"/>
    <w:rsid w:val="00393CDB"/>
    <w:rsid w:val="00395302"/>
    <w:rsid w:val="003973BE"/>
    <w:rsid w:val="003A5E90"/>
    <w:rsid w:val="003B2F13"/>
    <w:rsid w:val="003C1504"/>
    <w:rsid w:val="003D624D"/>
    <w:rsid w:val="003E4DE3"/>
    <w:rsid w:val="00442331"/>
    <w:rsid w:val="004458CD"/>
    <w:rsid w:val="00465D4F"/>
    <w:rsid w:val="00473B12"/>
    <w:rsid w:val="00487680"/>
    <w:rsid w:val="004F3C7C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7304A"/>
    <w:rsid w:val="00683764"/>
    <w:rsid w:val="006A782F"/>
    <w:rsid w:val="006D7E92"/>
    <w:rsid w:val="006E3B64"/>
    <w:rsid w:val="006E6ED8"/>
    <w:rsid w:val="00700E9C"/>
    <w:rsid w:val="007132C2"/>
    <w:rsid w:val="0072408D"/>
    <w:rsid w:val="00733785"/>
    <w:rsid w:val="007779DD"/>
    <w:rsid w:val="007B6878"/>
    <w:rsid w:val="007D10B9"/>
    <w:rsid w:val="007D4516"/>
    <w:rsid w:val="00833B2C"/>
    <w:rsid w:val="008541FD"/>
    <w:rsid w:val="00857DAF"/>
    <w:rsid w:val="00871722"/>
    <w:rsid w:val="008B5033"/>
    <w:rsid w:val="008C2554"/>
    <w:rsid w:val="008D422A"/>
    <w:rsid w:val="009178EE"/>
    <w:rsid w:val="00951457"/>
    <w:rsid w:val="00982F05"/>
    <w:rsid w:val="009846CE"/>
    <w:rsid w:val="009A10B3"/>
    <w:rsid w:val="009C0C74"/>
    <w:rsid w:val="009F4F46"/>
    <w:rsid w:val="00A64511"/>
    <w:rsid w:val="00A87E32"/>
    <w:rsid w:val="00A957C5"/>
    <w:rsid w:val="00A960FB"/>
    <w:rsid w:val="00A9774E"/>
    <w:rsid w:val="00AA2862"/>
    <w:rsid w:val="00AB7495"/>
    <w:rsid w:val="00B0153F"/>
    <w:rsid w:val="00B042E2"/>
    <w:rsid w:val="00B300A7"/>
    <w:rsid w:val="00B51693"/>
    <w:rsid w:val="00B538EB"/>
    <w:rsid w:val="00B842B7"/>
    <w:rsid w:val="00B948BE"/>
    <w:rsid w:val="00BB4CB2"/>
    <w:rsid w:val="00BC7BF1"/>
    <w:rsid w:val="00BD5F1B"/>
    <w:rsid w:val="00C120DA"/>
    <w:rsid w:val="00C459B1"/>
    <w:rsid w:val="00C51D46"/>
    <w:rsid w:val="00C54AA9"/>
    <w:rsid w:val="00C568D9"/>
    <w:rsid w:val="00C61C01"/>
    <w:rsid w:val="00C85F0F"/>
    <w:rsid w:val="00CB7BE2"/>
    <w:rsid w:val="00CC2DD2"/>
    <w:rsid w:val="00D0674A"/>
    <w:rsid w:val="00D83E87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31AC7"/>
    <w:rsid w:val="00F467F2"/>
    <w:rsid w:val="00F46912"/>
    <w:rsid w:val="00F92112"/>
    <w:rsid w:val="00FD632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02A"/>
  <w15:docId w15:val="{0FB77DCA-DE06-4D67-B7E9-6E8A44A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link w:val="ab"/>
    <w:uiPriority w:val="34"/>
    <w:qFormat/>
    <w:rsid w:val="00105EC8"/>
  </w:style>
  <w:style w:type="table" w:styleId="ac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f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f0">
    <w:name w:val="Strong"/>
    <w:basedOn w:val="a0"/>
    <w:uiPriority w:val="22"/>
    <w:qFormat/>
    <w:rsid w:val="003B2F13"/>
    <w:rPr>
      <w:b/>
      <w:bCs/>
    </w:rPr>
  </w:style>
  <w:style w:type="paragraph" w:styleId="af1">
    <w:name w:val="Normal (Web)"/>
    <w:basedOn w:val="a"/>
    <w:rsid w:val="008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B0153F"/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B01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</cp:revision>
  <cp:lastPrinted>2025-02-09T14:29:00Z</cp:lastPrinted>
  <dcterms:created xsi:type="dcterms:W3CDTF">2025-02-09T14:29:00Z</dcterms:created>
  <dcterms:modified xsi:type="dcterms:W3CDTF">2025-02-09T14:29:00Z</dcterms:modified>
</cp:coreProperties>
</file>