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CA" w:rsidRPr="006F5ACA" w:rsidRDefault="006F5ACA" w:rsidP="006F5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5A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Почему пенсия выплачивается в разные даты?</w:t>
      </w:r>
    </w:p>
    <w:p w:rsidR="006F5ACA" w:rsidRDefault="006F5ACA" w:rsidP="006F5AC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пенсии производится за текущий календарный месяц Управлением ПФР по месту нахождения выплатного дела.</w:t>
      </w:r>
    </w:p>
    <w:p w:rsidR="006F5ACA" w:rsidRDefault="006F5ACA" w:rsidP="006F5AC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В соответствии с пенсионным законодательством Российской Федерации</w:t>
      </w:r>
      <w:r>
        <w:rPr>
          <w:rFonts w:cs="Tms Rmn"/>
          <w:color w:val="000000"/>
          <w:sz w:val="24"/>
          <w:szCs w:val="24"/>
        </w:rPr>
        <w:t xml:space="preserve"> (</w:t>
      </w:r>
      <w:r>
        <w:rPr>
          <w:rFonts w:ascii="Tms Rmn" w:hAnsi="Tms Rmn" w:cs="Tms Rmn"/>
          <w:color w:val="000000"/>
          <w:sz w:val="24"/>
          <w:szCs w:val="24"/>
        </w:rPr>
        <w:t>Федеральный закон от 28.12.2013 № 400-ФЗ «О страховых пенсиях» доставка пенсии производится по желанию пенсионера через организации почтовой связи или через кредитные организации.</w:t>
      </w:r>
      <w:proofErr w:type="gramEnd"/>
    </w:p>
    <w:p w:rsidR="006F5ACA" w:rsidRDefault="006F5ACA" w:rsidP="006F5AC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Доставка пенсии организациями почтовой связи осуществляется в период с 3 по 22 число месяца в соответствии с графиком выплаты. В пределах периода доставки пенсии каждому пенсионеру устанавливается дата получения пенсии в соответствии с графиком доставки. Получить пенсию после даты, установленной графиком, можно до окончания периода доставки. За денежными средствами, неполученными в текущем месяце, следует обратиться в следующем месяце с 3 по 22 число включительно.</w:t>
      </w:r>
    </w:p>
    <w:p w:rsidR="006F5ACA" w:rsidRDefault="006F5ACA" w:rsidP="006F5AC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Пенсия через кредитные организации выплачивается по графику, который составляется ежемесячно. При этом с учётом выходных и праздничных дней даты выплаты пенсии в предыдущем и текущем месяцах могут не совпадать.</w:t>
      </w:r>
    </w:p>
    <w:p w:rsidR="006F5ACA" w:rsidRDefault="006F5ACA" w:rsidP="006F5AC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ACA">
        <w:rPr>
          <w:rFonts w:ascii="Times New Roman" w:hAnsi="Times New Roman" w:cs="Times New Roman"/>
          <w:color w:val="000000"/>
          <w:sz w:val="24"/>
          <w:szCs w:val="24"/>
        </w:rPr>
        <w:t>График выплаты пенсии ежемесячно размещается  на официальном сайте ПФР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history="1">
        <w:r w:rsidRPr="006F5ACA">
          <w:rPr>
            <w:rStyle w:val="a3"/>
            <w:rFonts w:ascii="Times New Roman" w:hAnsi="Times New Roman" w:cs="Times New Roman"/>
            <w:sz w:val="24"/>
            <w:szCs w:val="24"/>
          </w:rPr>
          <w:t xml:space="preserve">www.pfrf.ru, </w:t>
        </w:r>
      </w:hyperlink>
      <w:r w:rsidRPr="006F5ACA">
        <w:rPr>
          <w:rFonts w:ascii="Times New Roman" w:hAnsi="Times New Roman" w:cs="Times New Roman"/>
          <w:color w:val="000000"/>
          <w:sz w:val="24"/>
          <w:szCs w:val="24"/>
        </w:rPr>
        <w:t xml:space="preserve"> а также в местных средствах массовой информации, на сайтах администраций городов Кингисеппа, Ивангорода, Сланцы, сельских поселений. </w:t>
      </w:r>
    </w:p>
    <w:p w:rsidR="006F5ACA" w:rsidRPr="006F5ACA" w:rsidRDefault="006F5ACA" w:rsidP="006F5AC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31B55" w:rsidRPr="006F5ACA" w:rsidRDefault="00531B55">
      <w:pPr>
        <w:rPr>
          <w:rFonts w:ascii="Times New Roman" w:hAnsi="Times New Roman" w:cs="Times New Roman"/>
        </w:rPr>
      </w:pPr>
    </w:p>
    <w:sectPr w:rsidR="00531B55" w:rsidRPr="006F5ACA" w:rsidSect="009D747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ACA"/>
    <w:rsid w:val="00531B55"/>
    <w:rsid w:val="006F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A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2019-12-17T13:39:00Z</dcterms:created>
  <dcterms:modified xsi:type="dcterms:W3CDTF">2019-12-17T13:46:00Z</dcterms:modified>
</cp:coreProperties>
</file>